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The Federal Government of Somalia</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Ministry of Public Works, Reconstruction, and Housing</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Somalia - Horn of Africa Infrastructure Integration Project</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REQUEST FOR EXPRESSIONS OF INTEREST (REOI)</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Country: Federal Government of Somalia</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Name of the Project: Horn of Africa Infrastructure Integration Project (SHIIP)</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Project ID: P173119</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Grand No. E1270-SO</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Consultancy Services: Consultant Advisor for Ministry of Public Works, Reconstruction and Housing of the Federal Government of Somalia</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Individual/Firm: Individual</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Duty Station: Mogadishu</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Deadline: April 10, 2025</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Ref No: SO-MPWRH-480207-CS-INDV</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1. </w:t>
      </w:r>
      <w:r w:rsidRPr="00874AD2">
        <w:rPr>
          <w:rFonts w:ascii="Open Sans" w:hAnsi="Open Sans" w:cs="Open Sans"/>
          <w:sz w:val="20"/>
          <w:szCs w:val="20"/>
        </w:rPr>
        <w:t>The Federal Government of Somalia (FGS) (hereinafter called “Recipient”) has received financing from the World Bank (hereinafter called “Grant”) toward the cost of the Somalia - Horn of Africa Infrastructure Integration Project (SHIIP). Based on the aforementioned, the Ministry of Public Works, Reconstruction, and Housing is seeking to use a portion of the funds to finance the position of the </w:t>
      </w:r>
      <w:r w:rsidRPr="00874AD2">
        <w:rPr>
          <w:rStyle w:val="Strong"/>
          <w:rFonts w:ascii="Open Sans" w:hAnsi="Open Sans" w:cs="Open Sans"/>
          <w:sz w:val="20"/>
          <w:szCs w:val="20"/>
        </w:rPr>
        <w:t>Consultant Advisor for the Ministry of Public Works, Reconstruction and Housing of the Federal Government of Somalia</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2. </w:t>
      </w:r>
      <w:r w:rsidRPr="00874AD2">
        <w:rPr>
          <w:rFonts w:ascii="Open Sans" w:hAnsi="Open Sans" w:cs="Open Sans"/>
          <w:sz w:val="20"/>
          <w:szCs w:val="20"/>
        </w:rPr>
        <w:t>The objective of engaging the consultant Advisor to enhance the technical capacity of the MPWRH for effective execution of its mandate. The Specialist is expected, among other roles, to review and provide advice to the MPWRH on its strategic, policy making, institutional and regulatory roles as well as technical aspects to ensure that the road network and the infrastructure in Somalia meets the current and future demand for the public and private sectors as well as being environmentally sound, safe, sustainable and serves to enhance transport and trade facilitation needs. The Specialist shall work closely with MPWRH staff and the other Specialists.</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3. Duration:</w:t>
      </w:r>
      <w:r w:rsidRPr="00874AD2">
        <w:rPr>
          <w:rFonts w:ascii="Open Sans" w:hAnsi="Open Sans" w:cs="Open Sans"/>
          <w:sz w:val="20"/>
          <w:szCs w:val="20"/>
        </w:rPr>
        <w:t> This is a full-time position. The contract is expected to run for a period of twelve (12) Calendar Months. Extension of the contract will be subject to the need and satisfactory performance of the contracted applicant.</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lastRenderedPageBreak/>
        <w:t> 5. Selection Criteria</w:t>
      </w:r>
      <w:r w:rsidRPr="00874AD2">
        <w:rPr>
          <w:rFonts w:ascii="Open Sans" w:hAnsi="Open Sans" w:cs="Open Sans"/>
          <w:sz w:val="20"/>
          <w:szCs w:val="20"/>
        </w:rPr>
        <w:t>: The selection shall be based on qualification, experience and skills of the candidate and followed by an interview. Have a post-graduate degree in civil engineering, urban planning, transportation engineering, transport policy or any other relevant degree from a recognized university. Be registered with the requisite professional institutions. Have a minimum of 10 years working experience in large infrastructure projects covering infrastructure design/planning; civil works contract management and execution; procurement of civil works and consultancy contracts; sustainable road infrastructure asset management; economic, social, and environmental impact of infrastructure investments; and capacity development. Demonstrated understanding of policy and technical matters relevant to the Ministry’s mission and the ability to understand and interpretation of policies and procedures of Government systems.</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6. MOPWRH now invites eligible Individual Consultants to indicate their interest in providing the above-mentioned services.  Interested consultants must provide information indicating that they are qualified to perform the Services and furnish the Curriculum Vitae (CV) in the prescribed </w:t>
      </w:r>
      <w:r w:rsidRPr="00874AD2">
        <w:rPr>
          <w:rStyle w:val="Strong"/>
          <w:rFonts w:ascii="Open Sans" w:hAnsi="Open Sans" w:cs="Open Sans"/>
          <w:sz w:val="20"/>
          <w:szCs w:val="20"/>
        </w:rPr>
        <w:t>form that will be provided with the TOR upon submission of application (by e-mail at the address given below).</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7. The Detailed Terms of Reference for this assignment with the scope of the assignment can be found on the Ministry of Public Works, Reconstruction and Housing’s website: www.mpwr.gov.so or it can be provided upon submission of the application by e-mail to the e-mail address provided below.</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8. The attention of interested consultants is drawn to Section III, paragraphs 3.14, 3.16 and 3.17 of the World Bank’s ‘Procurement Regulations for IPF Borrowers’ July 2016 revised November 2017, August 2018, November 2020 and September 2023 [Procurement in investment Project Financing; Goods, Works, Non-Consulting and Consulting Services], setting forth the World Bank’s policy on conflict of interest.</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9. A Consultant will be selected in accordance with the Individual Consultant method set out in the World Bank Procurement Regulations.</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10. Interested Consultants may obtain further information at the address given below from 9:00 to 16:00 Hrs. on working days (Saturday through Thursday.)</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11. </w:t>
      </w:r>
      <w:r w:rsidRPr="00874AD2">
        <w:rPr>
          <w:rStyle w:val="Strong"/>
          <w:rFonts w:ascii="Open Sans" w:hAnsi="Open Sans" w:cs="Open Sans"/>
          <w:sz w:val="20"/>
          <w:szCs w:val="20"/>
        </w:rPr>
        <w:t>Deadline for submission</w:t>
      </w:r>
      <w:r w:rsidRPr="00874AD2">
        <w:rPr>
          <w:rFonts w:ascii="Open Sans" w:hAnsi="Open Sans" w:cs="Open Sans"/>
          <w:sz w:val="20"/>
          <w:szCs w:val="20"/>
        </w:rPr>
        <w:t>: The Expression of interest (EOI) and the CV completed in the prescribed form must be delivered to the address below (by e-mail) by April 10, 2025,</w:t>
      </w:r>
      <w:r w:rsidRPr="00874AD2">
        <w:rPr>
          <w:rStyle w:val="Strong"/>
          <w:rFonts w:ascii="Open Sans" w:hAnsi="Open Sans" w:cs="Open Sans"/>
          <w:sz w:val="20"/>
          <w:szCs w:val="20"/>
        </w:rPr>
        <w:t> at 16:00 Hours (Mogadishu Time). </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Fonts w:ascii="Open Sans" w:hAnsi="Open Sans" w:cs="Open Sans"/>
          <w:sz w:val="20"/>
          <w:szCs w:val="20"/>
        </w:rPr>
        <w:t>12. Further details of this REOI are provided in the Terms of Reference (TOR), which may be obtained upon request by e-mail to the address given below. </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Attention: Project Coordination Unit</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SOMALIA - HORN OF AFRICA INFRASTRUCTURE INTEGRATION PROJECT</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Ministry of Public Works, Reconstruction, and Housing, Mogadishu, Somalia</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lastRenderedPageBreak/>
        <w:t>Email address: pro.shiip@mpwr.gov.so</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Cc: shiip.pc@mpwr.gov.so</w:t>
      </w:r>
    </w:p>
    <w:p w:rsidR="00874AD2" w:rsidRPr="00874AD2" w:rsidRDefault="00874AD2" w:rsidP="00874AD2">
      <w:pPr>
        <w:pStyle w:val="NormalWeb"/>
        <w:shd w:val="clear" w:color="auto" w:fill="FFFFFF"/>
        <w:spacing w:before="0" w:beforeAutospacing="0"/>
        <w:rPr>
          <w:rFonts w:ascii="Open Sans" w:hAnsi="Open Sans" w:cs="Open Sans"/>
          <w:sz w:val="20"/>
          <w:szCs w:val="20"/>
        </w:rPr>
      </w:pPr>
      <w:r w:rsidRPr="00874AD2">
        <w:rPr>
          <w:rStyle w:val="Strong"/>
          <w:rFonts w:ascii="Open Sans" w:hAnsi="Open Sans" w:cs="Open Sans"/>
          <w:sz w:val="20"/>
          <w:szCs w:val="20"/>
        </w:rPr>
        <w:t>Cc: dg@mpwr.gov.so</w:t>
      </w:r>
    </w:p>
    <w:p w:rsidR="00B74AA7" w:rsidRPr="00874AD2" w:rsidRDefault="00B74AA7"/>
    <w:sectPr w:rsidR="00B74AA7" w:rsidRPr="00874AD2" w:rsidSect="00396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D2"/>
    <w:rsid w:val="00333AB0"/>
    <w:rsid w:val="0039634D"/>
    <w:rsid w:val="00615A50"/>
    <w:rsid w:val="00874AD2"/>
    <w:rsid w:val="00B7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247BABB-C333-BA43-AC0F-93AE6CDE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AD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4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Jama</dc:creator>
  <cp:keywords/>
  <dc:description/>
  <cp:lastModifiedBy>Hussein Jama</cp:lastModifiedBy>
  <cp:revision>1</cp:revision>
  <dcterms:created xsi:type="dcterms:W3CDTF">2025-03-26T20:11:00Z</dcterms:created>
  <dcterms:modified xsi:type="dcterms:W3CDTF">2025-03-26T20:13:00Z</dcterms:modified>
</cp:coreProperties>
</file>